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17" w:rsidRPr="00377C17" w:rsidRDefault="00BA4117" w:rsidP="00BA4117">
      <w:pPr>
        <w:pStyle w:val="Style1"/>
        <w:widowControl/>
        <w:spacing w:before="72" w:line="317" w:lineRule="exact"/>
        <w:rPr>
          <w:rStyle w:val="FontStyle13"/>
          <w:rFonts w:ascii="Bookman Old Style" w:hAnsi="Bookman Old Style"/>
        </w:rPr>
      </w:pPr>
      <w:r w:rsidRPr="00377C17">
        <w:rPr>
          <w:rStyle w:val="FontStyle13"/>
          <w:rFonts w:ascii="Bookman Old Style" w:hAnsi="Bookman Old Style"/>
        </w:rPr>
        <w:t xml:space="preserve">ISTITUTO COMPRENSIVO </w:t>
      </w:r>
      <w:proofErr w:type="spellStart"/>
      <w:r w:rsidRPr="00377C17">
        <w:rPr>
          <w:rStyle w:val="FontStyle13"/>
          <w:rFonts w:ascii="Bookman Old Style" w:hAnsi="Bookman Old Style"/>
        </w:rPr>
        <w:t>DI</w:t>
      </w:r>
      <w:proofErr w:type="spellEnd"/>
      <w:r w:rsidRPr="00377C17">
        <w:rPr>
          <w:rStyle w:val="FontStyle13"/>
          <w:rFonts w:ascii="Bookman Old Style" w:hAnsi="Bookman Old Style"/>
        </w:rPr>
        <w:t xml:space="preserve"> CORROPOLI, COLONNELLA, CONTROGUERRA</w:t>
      </w:r>
    </w:p>
    <w:p w:rsidR="00BA4117" w:rsidRPr="00377C17" w:rsidRDefault="007139E9" w:rsidP="00BA4117">
      <w:pPr>
        <w:pStyle w:val="Style1"/>
        <w:widowControl/>
        <w:spacing w:before="72" w:line="317" w:lineRule="exact"/>
        <w:rPr>
          <w:rStyle w:val="FontStyle14"/>
          <w:rFonts w:ascii="Bookman Old Style" w:hAnsi="Bookman Old Style"/>
          <w:b/>
          <w:bCs/>
          <w:i/>
          <w:spacing w:val="-10"/>
          <w:sz w:val="28"/>
          <w:szCs w:val="28"/>
        </w:rPr>
      </w:pPr>
      <w:r w:rsidRPr="00377C17">
        <w:rPr>
          <w:rStyle w:val="FontStyle13"/>
          <w:rFonts w:ascii="Bookman Old Style" w:hAnsi="Bookman Old Style"/>
          <w:i/>
        </w:rPr>
        <w:t>Anno Scolastico 2018</w:t>
      </w:r>
      <w:r w:rsidR="00BA4117" w:rsidRPr="00377C17">
        <w:rPr>
          <w:rStyle w:val="FontStyle13"/>
          <w:rFonts w:ascii="Bookman Old Style" w:hAnsi="Bookman Old Style"/>
          <w:i/>
        </w:rPr>
        <w:t>/201</w:t>
      </w:r>
      <w:r w:rsidRPr="00377C17">
        <w:rPr>
          <w:rStyle w:val="FontStyle13"/>
          <w:rFonts w:ascii="Bookman Old Style" w:hAnsi="Bookman Old Style"/>
          <w:i/>
        </w:rPr>
        <w:t>9</w:t>
      </w:r>
    </w:p>
    <w:p w:rsidR="00BA4117" w:rsidRPr="00377C17" w:rsidRDefault="00BA4117" w:rsidP="00BA4117">
      <w:pPr>
        <w:pStyle w:val="Style1"/>
        <w:widowControl/>
        <w:spacing w:before="72" w:line="317" w:lineRule="exact"/>
        <w:rPr>
          <w:rStyle w:val="FontStyle13"/>
          <w:rFonts w:ascii="Bookman Old Style" w:hAnsi="Bookman Old Style"/>
        </w:rPr>
      </w:pPr>
      <w:r w:rsidRPr="00377C17">
        <w:rPr>
          <w:rStyle w:val="FontStyle13"/>
          <w:rFonts w:ascii="Bookman Old Style" w:hAnsi="Bookman Old Style"/>
        </w:rPr>
        <w:t>Area: Linguistica (Italiano)</w:t>
      </w:r>
    </w:p>
    <w:p w:rsidR="00BA4117" w:rsidRPr="00377C17" w:rsidRDefault="00BA4117" w:rsidP="00BA4117">
      <w:pPr>
        <w:pStyle w:val="Style1"/>
        <w:widowControl/>
        <w:spacing w:before="72" w:line="317" w:lineRule="exact"/>
        <w:rPr>
          <w:rFonts w:ascii="Bookman Old Style" w:eastAsiaTheme="minorHAnsi" w:hAnsi="Bookman Old Style"/>
          <w:sz w:val="24"/>
          <w:lang w:eastAsia="en-US"/>
        </w:rPr>
      </w:pPr>
      <w:r w:rsidRPr="00377C17">
        <w:rPr>
          <w:rStyle w:val="FontStyle13"/>
          <w:rFonts w:ascii="Bookman Old Style" w:hAnsi="Bookman Old Style"/>
        </w:rPr>
        <w:t>PROGETTO  “AVVIAMENTO ALLO STUDIO DEL LATINO”</w:t>
      </w:r>
    </w:p>
    <w:p w:rsidR="00BA4117" w:rsidRPr="00377C17" w:rsidRDefault="00BA4117" w:rsidP="00BA4117">
      <w:pPr>
        <w:pStyle w:val="Style1"/>
        <w:widowControl/>
        <w:spacing w:before="72" w:line="317" w:lineRule="exact"/>
        <w:rPr>
          <w:rFonts w:ascii="Bookman Old Style" w:eastAsiaTheme="minorHAnsi" w:hAnsi="Bookman Old Style"/>
          <w:b/>
          <w:sz w:val="28"/>
          <w:szCs w:val="28"/>
          <w:lang w:eastAsia="en-US"/>
        </w:rPr>
      </w:pPr>
      <w:r w:rsidRPr="00377C17">
        <w:rPr>
          <w:rFonts w:ascii="Bookman Old Style" w:eastAsiaTheme="minorHAnsi" w:hAnsi="Bookman Old Style"/>
          <w:b/>
          <w:sz w:val="28"/>
          <w:szCs w:val="28"/>
          <w:lang w:eastAsia="en-US"/>
        </w:rPr>
        <w:t xml:space="preserve">Referente: prof.ssa </w:t>
      </w:r>
      <w:proofErr w:type="spellStart"/>
      <w:r w:rsidRPr="00377C17">
        <w:rPr>
          <w:rFonts w:ascii="Bookman Old Style" w:eastAsiaTheme="minorHAnsi" w:hAnsi="Bookman Old Style"/>
          <w:b/>
          <w:sz w:val="28"/>
          <w:szCs w:val="28"/>
          <w:lang w:eastAsia="en-US"/>
        </w:rPr>
        <w:t>Clarice</w:t>
      </w:r>
      <w:proofErr w:type="spellEnd"/>
      <w:r w:rsidRPr="00377C17">
        <w:rPr>
          <w:rFonts w:ascii="Bookman Old Style" w:eastAsiaTheme="minorHAnsi" w:hAnsi="Bookman Old Style"/>
          <w:b/>
          <w:sz w:val="28"/>
          <w:szCs w:val="28"/>
          <w:lang w:eastAsia="en-US"/>
        </w:rPr>
        <w:t xml:space="preserve"> </w:t>
      </w:r>
      <w:proofErr w:type="spellStart"/>
      <w:r w:rsidRPr="00377C17">
        <w:rPr>
          <w:rFonts w:ascii="Bookman Old Style" w:eastAsiaTheme="minorHAnsi" w:hAnsi="Bookman Old Style"/>
          <w:b/>
          <w:sz w:val="28"/>
          <w:szCs w:val="28"/>
          <w:lang w:eastAsia="en-US"/>
        </w:rPr>
        <w:t>Tomassini</w:t>
      </w:r>
      <w:proofErr w:type="spellEnd"/>
    </w:p>
    <w:p w:rsidR="00BA4117" w:rsidRPr="00377C17" w:rsidRDefault="00BA4117" w:rsidP="00BA4117">
      <w:pPr>
        <w:pStyle w:val="Style1"/>
        <w:widowControl/>
        <w:spacing w:before="72" w:line="317" w:lineRule="exact"/>
        <w:rPr>
          <w:rFonts w:ascii="Bookman Old Style" w:eastAsiaTheme="minorHAnsi" w:hAnsi="Bookman Old Style"/>
          <w:b/>
          <w:sz w:val="28"/>
          <w:szCs w:val="28"/>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Il progetto è finalizzato a costruire strumenti di raccordo disciplinare con la Scuola Secondaria di secondo grado consolidando le attività di orientamento in uscita con un percorso didattico e progettuale. È sempre più avvertita, infatti, l’esigenza di un curricolo condiviso, basato su obiettivi didattici comuni.</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 xml:space="preserve">Durata </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10 ore pomeridiane, scandite in 5 incontri di 2 ore ciascuno. Il periodo di svolgiment</w:t>
      </w:r>
      <w:r w:rsidR="007139E9" w:rsidRPr="00377C17">
        <w:rPr>
          <w:rFonts w:ascii="Bookman Old Style" w:eastAsiaTheme="minorHAnsi" w:hAnsi="Bookman Old Style"/>
          <w:sz w:val="24"/>
          <w:lang w:eastAsia="en-US"/>
        </w:rPr>
        <w:t>o va indicativamente da novembre a febbraio</w:t>
      </w:r>
      <w:r w:rsidRPr="00377C17">
        <w:rPr>
          <w:rFonts w:ascii="Bookman Old Style" w:eastAsiaTheme="minorHAnsi" w:hAnsi="Bookman Old Style"/>
          <w:sz w:val="24"/>
          <w:lang w:eastAsia="en-US"/>
        </w:rPr>
        <w:t>, e per tale collocazione nell’arco dell’anno scolastico esso può rappresentare anche un’ulteriore occasione di autovalutazione per gli studenti, nell’ambito del percorso di orientamento scolastico.</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Le lezioni sono affidate a docenti di Lettere interni alla scuola, preferibilmente agli insegnanti di Italiano delle classi coinvolte.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i/>
          <w:sz w:val="24"/>
          <w:u w:val="single"/>
          <w:lang w:eastAsia="en-US"/>
        </w:rPr>
        <w:t>Destinatari</w:t>
      </w:r>
      <w:r w:rsidRPr="00377C17">
        <w:rPr>
          <w:rFonts w:ascii="Bookman Old Style" w:eastAsiaTheme="minorHAnsi" w:hAnsi="Bookman Old Style"/>
          <w:sz w:val="24"/>
          <w:lang w:eastAsia="en-US"/>
        </w:rPr>
        <w:t xml:space="preserve"> </w:t>
      </w:r>
    </w:p>
    <w:p w:rsidR="00BA4117" w:rsidRPr="00377C17" w:rsidRDefault="007139E9"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A</w:t>
      </w:r>
      <w:r w:rsidR="00BA4117" w:rsidRPr="00377C17">
        <w:rPr>
          <w:rFonts w:ascii="Bookman Old Style" w:eastAsiaTheme="minorHAnsi" w:hAnsi="Bookman Old Style"/>
          <w:sz w:val="24"/>
          <w:lang w:eastAsia="en-US"/>
        </w:rPr>
        <w:t xml:space="preserve">lunni interessati delle classi terze di </w:t>
      </w:r>
      <w:proofErr w:type="spellStart"/>
      <w:r w:rsidR="00BA4117" w:rsidRPr="00377C17">
        <w:rPr>
          <w:rFonts w:ascii="Bookman Old Style" w:eastAsiaTheme="minorHAnsi" w:hAnsi="Bookman Old Style"/>
          <w:sz w:val="24"/>
          <w:lang w:eastAsia="en-US"/>
        </w:rPr>
        <w:t>Corropoli</w:t>
      </w:r>
      <w:proofErr w:type="spellEnd"/>
      <w:r w:rsidRPr="00377C17">
        <w:rPr>
          <w:rFonts w:ascii="Bookman Old Style" w:eastAsiaTheme="minorHAnsi" w:hAnsi="Bookman Old Style"/>
          <w:sz w:val="24"/>
          <w:lang w:eastAsia="en-US"/>
        </w:rPr>
        <w:t>, Colonnella</w:t>
      </w:r>
      <w:r w:rsidR="00BA4117" w:rsidRPr="00377C17">
        <w:rPr>
          <w:rFonts w:ascii="Bookman Old Style" w:eastAsiaTheme="minorHAnsi" w:hAnsi="Bookman Old Style"/>
          <w:sz w:val="24"/>
          <w:lang w:eastAsia="en-US"/>
        </w:rPr>
        <w:t xml:space="preserve"> </w:t>
      </w:r>
      <w:r w:rsidRPr="00377C17">
        <w:rPr>
          <w:rFonts w:ascii="Bookman Old Style" w:eastAsiaTheme="minorHAnsi" w:hAnsi="Bookman Old Style"/>
          <w:sz w:val="24"/>
          <w:lang w:eastAsia="en-US"/>
        </w:rPr>
        <w:t xml:space="preserve">e </w:t>
      </w:r>
      <w:proofErr w:type="spellStart"/>
      <w:r w:rsidRPr="00377C17">
        <w:rPr>
          <w:rFonts w:ascii="Bookman Old Style" w:eastAsiaTheme="minorHAnsi" w:hAnsi="Bookman Old Style"/>
          <w:sz w:val="24"/>
          <w:lang w:eastAsia="en-US"/>
        </w:rPr>
        <w:t>Controguerra</w:t>
      </w:r>
      <w:proofErr w:type="spellEnd"/>
      <w:r w:rsidRPr="00377C17">
        <w:rPr>
          <w:rFonts w:ascii="Bookman Old Style" w:eastAsiaTheme="minorHAnsi" w:hAnsi="Bookman Old Style"/>
          <w:sz w:val="24"/>
          <w:lang w:eastAsia="en-US"/>
        </w:rPr>
        <w:t xml:space="preserve"> (3</w:t>
      </w:r>
      <w:r w:rsidRPr="00377C17">
        <w:rPr>
          <w:rFonts w:ascii="Bookman Old Style" w:eastAsiaTheme="minorHAnsi"/>
          <w:sz w:val="24"/>
          <w:lang w:eastAsia="en-US"/>
        </w:rPr>
        <w:t>ͣ</w:t>
      </w:r>
      <w:r w:rsidRPr="00377C17">
        <w:rPr>
          <w:rFonts w:ascii="Bookman Old Style" w:eastAsiaTheme="minorHAnsi" w:hAnsi="Bookman Old Style"/>
          <w:sz w:val="24"/>
          <w:lang w:eastAsia="en-US"/>
        </w:rPr>
        <w:t>A, 3</w:t>
      </w:r>
      <w:r w:rsidRPr="00377C17">
        <w:rPr>
          <w:rFonts w:ascii="Bookman Old Style" w:eastAsiaTheme="minorHAnsi"/>
          <w:sz w:val="24"/>
          <w:lang w:eastAsia="en-US"/>
        </w:rPr>
        <w:t>ͣ</w:t>
      </w:r>
      <w:r w:rsidRPr="00377C17">
        <w:rPr>
          <w:rFonts w:ascii="Bookman Old Style" w:eastAsiaTheme="minorHAnsi" w:hAnsi="Bookman Old Style"/>
          <w:sz w:val="24"/>
          <w:lang w:eastAsia="en-US"/>
        </w:rPr>
        <w:t>C, 3</w:t>
      </w:r>
      <w:r w:rsidRPr="00377C17">
        <w:rPr>
          <w:rFonts w:ascii="Bookman Old Style" w:eastAsiaTheme="minorHAnsi"/>
          <w:sz w:val="24"/>
          <w:lang w:eastAsia="en-US"/>
        </w:rPr>
        <w:t>ͣ</w:t>
      </w:r>
      <w:r w:rsidRPr="00377C17">
        <w:rPr>
          <w:rFonts w:ascii="Bookman Old Style" w:eastAsiaTheme="minorHAnsi" w:hAnsi="Bookman Old Style"/>
          <w:sz w:val="24"/>
          <w:lang w:eastAsia="en-US"/>
        </w:rPr>
        <w:t>E, 3</w:t>
      </w:r>
      <w:r w:rsidRPr="00377C17">
        <w:rPr>
          <w:rFonts w:ascii="Bookman Old Style" w:eastAsiaTheme="minorHAnsi"/>
          <w:sz w:val="24"/>
          <w:lang w:eastAsia="en-US"/>
        </w:rPr>
        <w:t>ͣ</w:t>
      </w:r>
      <w:r w:rsidRPr="00377C17">
        <w:rPr>
          <w:rFonts w:ascii="Bookman Old Style" w:eastAsiaTheme="minorHAnsi" w:hAnsi="Bookman Old Style"/>
          <w:sz w:val="24"/>
          <w:lang w:eastAsia="en-US"/>
        </w:rPr>
        <w:t>F, 3</w:t>
      </w:r>
      <w:r w:rsidRPr="00377C17">
        <w:rPr>
          <w:rFonts w:ascii="Bookman Old Style" w:eastAsiaTheme="minorHAnsi"/>
          <w:sz w:val="24"/>
          <w:lang w:eastAsia="en-US"/>
        </w:rPr>
        <w:t>ͣ</w:t>
      </w:r>
      <w:r w:rsidRPr="00377C17">
        <w:rPr>
          <w:rFonts w:ascii="Bookman Old Style" w:eastAsiaTheme="minorHAnsi" w:hAnsi="Bookman Old Style"/>
          <w:sz w:val="24"/>
          <w:lang w:eastAsia="en-US"/>
        </w:rPr>
        <w:t>G).</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Finalità</w:t>
      </w:r>
    </w:p>
    <w:p w:rsidR="00BA41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La finalità del corso è quella di avvicinare i ragazzi allo studio della lingua latina attraverso attività graduate improntate ad un metodo di riflessione logico-linguistica, anche per facilitare lo studio delle lingue classiche a quei ragazzi che, dopo la terza media, intenderanno proseguire gli studi in un percorso di tipo liceale. Tale proposta ha l’obiettivo di svelare il fascino della lingua latina, abbinando al discorso linguistico percorsi di civiltà ne riducendo in tal modo l’apprensione generata dalla novità della disciplina e l’impatto traumatico che gli alunni spesso riferiscono di avvertire all’inizio degli studi liceali. L’individuazione della stretta connessione tra l’italiano e le lingue classiche attraverso continui richiami etimologici sarà una delle strategie attuabili per stimolare negli alunni la curiosità nei confronti della lingua latina e la consapevolezza del rapporto di derivazione dell’italiano da essa.</w:t>
      </w:r>
    </w:p>
    <w:p w:rsidR="008F5432" w:rsidRDefault="008F5432" w:rsidP="00BA4117">
      <w:pPr>
        <w:pStyle w:val="Style1"/>
        <w:widowControl/>
        <w:spacing w:before="72" w:line="317" w:lineRule="exact"/>
        <w:jc w:val="both"/>
        <w:rPr>
          <w:rFonts w:ascii="Bookman Old Style" w:eastAsiaTheme="minorHAnsi" w:hAnsi="Bookman Old Style"/>
          <w:sz w:val="24"/>
          <w:lang w:eastAsia="en-US"/>
        </w:rPr>
      </w:pPr>
    </w:p>
    <w:p w:rsidR="008F5432" w:rsidRPr="00377C17" w:rsidRDefault="008F5432"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lastRenderedPageBreak/>
        <w:t>Obiettivi</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Consolidare i prerequisiti linguistici;</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Conoscere i rudimenti della lingua latina;</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Favorire la comprensione del lessico e dei termini dell’italiano attraverso la scoperta dell’etimologia latina delle parole;</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Promuovere la memorizzazione di un lessico di base;</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Acquisire un metodo e un’organizzazione di studio efficace.</w:t>
      </w:r>
    </w:p>
    <w:p w:rsidR="00BA4117" w:rsidRPr="00377C17" w:rsidRDefault="00BA4117" w:rsidP="00BA4117">
      <w:pPr>
        <w:pStyle w:val="Style1"/>
        <w:widowControl/>
        <w:spacing w:before="72" w:line="317" w:lineRule="exact"/>
        <w:ind w:left="720"/>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Competenze</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Saper individuare le funzioni logiche in latino, attraverso l’abitudine alla logica, alla riflessione, all’analisi, al fine di acquisire un metodo di lavoro strutturato;</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Saper tradurre semplici frasi latine in una forma corretta;</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Saper utilizzare in modo consapevole il vocabolario;</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Acquisire il meccanismo della versione, soprattutto dal latino;</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Utilizzare l’italiano in modo consapevole.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Metodologia</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 xml:space="preserve">Ogni lezione consisterà in una presentazione teorica dell’argomento e di una successiva fase </w:t>
      </w:r>
      <w:proofErr w:type="spellStart"/>
      <w:r w:rsidRPr="00377C17">
        <w:rPr>
          <w:rFonts w:ascii="Bookman Old Style" w:eastAsiaTheme="minorHAnsi" w:hAnsi="Bookman Old Style"/>
          <w:sz w:val="24"/>
          <w:lang w:eastAsia="en-US"/>
        </w:rPr>
        <w:t>laboratoriale</w:t>
      </w:r>
      <w:proofErr w:type="spellEnd"/>
      <w:r w:rsidRPr="00377C17">
        <w:rPr>
          <w:rFonts w:ascii="Bookman Old Style" w:eastAsiaTheme="minorHAnsi" w:hAnsi="Bookman Old Style"/>
          <w:sz w:val="24"/>
          <w:lang w:eastAsia="en-US"/>
        </w:rPr>
        <w:t xml:space="preserve">. La spiegazione frontale del docente sarà </w:t>
      </w:r>
      <w:r w:rsidR="00377C17" w:rsidRPr="00377C17">
        <w:rPr>
          <w:rFonts w:ascii="Bookman Old Style" w:eastAsiaTheme="minorHAnsi" w:hAnsi="Bookman Old Style"/>
          <w:sz w:val="24"/>
          <w:lang w:eastAsia="en-US"/>
        </w:rPr>
        <w:t xml:space="preserve">solo il punto di partenza di attività didattiche </w:t>
      </w:r>
      <w:r w:rsidRPr="00377C17">
        <w:rPr>
          <w:rFonts w:ascii="Bookman Old Style" w:eastAsiaTheme="minorHAnsi" w:hAnsi="Bookman Old Style"/>
          <w:sz w:val="24"/>
          <w:lang w:eastAsia="en-US"/>
        </w:rPr>
        <w:t>che mira</w:t>
      </w:r>
      <w:r w:rsidR="00377C17" w:rsidRPr="00377C17">
        <w:rPr>
          <w:rFonts w:ascii="Bookman Old Style" w:eastAsiaTheme="minorHAnsi" w:hAnsi="Bookman Old Style"/>
          <w:sz w:val="24"/>
          <w:lang w:eastAsia="en-US"/>
        </w:rPr>
        <w:t>no</w:t>
      </w:r>
      <w:r w:rsidRPr="00377C17">
        <w:rPr>
          <w:rFonts w:ascii="Bookman Old Style" w:eastAsiaTheme="minorHAnsi" w:hAnsi="Bookman Old Style"/>
          <w:sz w:val="24"/>
          <w:lang w:eastAsia="en-US"/>
        </w:rPr>
        <w:t xml:space="preserve"> di fatto a proporre agli alunni lezioni interattive, in cui gli stessi dovranno porsi come elementi attivi, al fine di evitare un’acquisizione sterile di astratte nozioni, stimolando la loro personale attiva partecipazione.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Le attività proposte si accorderanno, attraverso momenti di ripasso e di potenziamento, agli argomenti e ai contenuti di grammatica italiana, di cui costituiscono un rinforzo ed un approfondimento.</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Materiali e strumenti</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Il materiale didattico sarà fornito agli alunni dal docente, sotto forma di fotocopie e dispense.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Contenuti</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Lezione 1</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Introduzione del corso.</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Organizzazione della scuola nel mondo romano e confronto con la scuola moderna.</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 xml:space="preserve">Presentazione generale della civiltà latina e della lingua latina, con riflessioni relative all’importanza della conoscenza  della lingua latina sia </w:t>
      </w:r>
      <w:r w:rsidRPr="00377C17">
        <w:rPr>
          <w:rFonts w:ascii="Bookman Old Style" w:eastAsiaTheme="minorHAnsi" w:hAnsi="Bookman Old Style"/>
          <w:sz w:val="24"/>
          <w:lang w:eastAsia="en-US"/>
        </w:rPr>
        <w:lastRenderedPageBreak/>
        <w:t>come strumento di approccio alla civiltà latina, sia come strumento di conoscenza della lingua italiana.</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Origine e storia della lingua latina.</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Somiglianze e differenze tra latino e italiano.</w:t>
      </w:r>
    </w:p>
    <w:p w:rsidR="00BA4117" w:rsidRPr="00377C17" w:rsidRDefault="00BA4117" w:rsidP="00BA4117">
      <w:pPr>
        <w:pStyle w:val="Style1"/>
        <w:widowControl/>
        <w:numPr>
          <w:ilvl w:val="0"/>
          <w:numId w:val="1"/>
        </w:numPr>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L’alfabeto: la pronuncia, la sillaba, le leggi dell’accento; esercizi di applicazione.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Lezione 2</w:t>
      </w:r>
    </w:p>
    <w:p w:rsidR="00377C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Il sistema dei casi e i corrispondenti complementi in italiano; la prima declinazione. Esercizi di applicazione. Guid</w:t>
      </w:r>
      <w:r w:rsidR="00377C17" w:rsidRPr="00377C17">
        <w:rPr>
          <w:rFonts w:ascii="Bookman Old Style" w:eastAsiaTheme="minorHAnsi" w:hAnsi="Bookman Old Style"/>
          <w:sz w:val="24"/>
          <w:lang w:eastAsia="en-US"/>
        </w:rPr>
        <w:t xml:space="preserve">a all’uso corretto ed efficace </w:t>
      </w:r>
      <w:r w:rsidRPr="00377C17">
        <w:rPr>
          <w:rFonts w:ascii="Bookman Old Style" w:eastAsiaTheme="minorHAnsi" w:hAnsi="Bookman Old Style"/>
          <w:sz w:val="24"/>
          <w:lang w:eastAsia="en-US"/>
        </w:rPr>
        <w:t>del dizionario.</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Lezione 3</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Nozioni preliminari sul verbo (le quattro coniugazioni, il paradigma). L’indicativo presente attivo. Complemento di compagnia e unione; complemento di mezzo; complemento di modo. Esercizi di applicazione. Guida all’uso corretto ed efficace del dizionario.</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Lezione 4</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 xml:space="preserve">La seconda declinazione (nomi maschili con nominativo in </w:t>
      </w:r>
      <w:proofErr w:type="spellStart"/>
      <w:r w:rsidRPr="00377C17">
        <w:rPr>
          <w:rFonts w:ascii="Bookman Old Style" w:eastAsiaTheme="minorHAnsi" w:hAnsi="Bookman Old Style"/>
          <w:sz w:val="24"/>
          <w:lang w:eastAsia="en-US"/>
        </w:rPr>
        <w:t>–us</w:t>
      </w:r>
      <w:proofErr w:type="spellEnd"/>
      <w:r w:rsidRPr="00377C17">
        <w:rPr>
          <w:rFonts w:ascii="Bookman Old Style" w:eastAsiaTheme="minorHAnsi" w:hAnsi="Bookman Old Style"/>
          <w:sz w:val="24"/>
          <w:lang w:eastAsia="en-US"/>
        </w:rPr>
        <w:t>); indicativo imperfetto attivo. Complemento di stato in luogo. Esercizi di applicazione (traduzione di brevi frasi). Guida all’uso corretto ed efficace del dizionario.</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Lezione 5</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La seconda declinazione (nomi neutri); indicativo presente e imperfetto di sum. Gli aggettivi della prima classe; la concordanza dell’aggettivo; il predicato nominale. Esercizi di applicazione traduzione di brevi frasi). Guida all’uso corretto ed efficace del dizionario.</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Materiali necessari</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 xml:space="preserve">Quaderno </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Fotocopie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Forbici</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Colla</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Evidenziatori</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Matite colorate o pennarelli</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Strumenti e tecnologie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Fotocopiatrice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Computer</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LIM</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Chiavi USB</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Internet</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BA4117" w:rsidP="00BA4117">
      <w:pPr>
        <w:pStyle w:val="Style1"/>
        <w:widowControl/>
        <w:spacing w:before="72" w:line="317" w:lineRule="exact"/>
        <w:jc w:val="both"/>
        <w:rPr>
          <w:rFonts w:ascii="Bookman Old Style" w:eastAsiaTheme="minorHAnsi" w:hAnsi="Bookman Old Style"/>
          <w:i/>
          <w:sz w:val="24"/>
          <w:u w:val="single"/>
          <w:lang w:eastAsia="en-US"/>
        </w:rPr>
      </w:pPr>
      <w:r w:rsidRPr="00377C17">
        <w:rPr>
          <w:rFonts w:ascii="Bookman Old Style" w:eastAsiaTheme="minorHAnsi" w:hAnsi="Bookman Old Style"/>
          <w:i/>
          <w:sz w:val="24"/>
          <w:u w:val="single"/>
          <w:lang w:eastAsia="en-US"/>
        </w:rPr>
        <w:t>Modalità e criteri di accertamento e valutazione delle competenze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r w:rsidRPr="00377C17">
        <w:rPr>
          <w:rFonts w:ascii="Bookman Old Style" w:eastAsiaTheme="minorHAnsi" w:hAnsi="Bookman Old Style"/>
          <w:sz w:val="24"/>
          <w:lang w:eastAsia="en-US"/>
        </w:rPr>
        <w:t>Momenti di verifica sono previsti tramite le esercitazioni pratiche.</w:t>
      </w:r>
    </w:p>
    <w:p w:rsidR="00BA4117" w:rsidRPr="00377C17" w:rsidRDefault="00BA4117" w:rsidP="00BA4117">
      <w:pPr>
        <w:pStyle w:val="Style1"/>
        <w:widowControl/>
        <w:spacing w:before="72" w:line="317" w:lineRule="exact"/>
        <w:jc w:val="both"/>
        <w:rPr>
          <w:rFonts w:ascii="Bookman Old Style" w:eastAsiaTheme="minorHAnsi" w:hAnsi="Bookman Old Style"/>
          <w:sz w:val="24"/>
          <w:lang w:eastAsia="en-US"/>
        </w:rPr>
      </w:pPr>
    </w:p>
    <w:p w:rsidR="00BA4117" w:rsidRPr="00377C17" w:rsidRDefault="00377C17" w:rsidP="00BA4117">
      <w:pPr>
        <w:jc w:val="both"/>
        <w:rPr>
          <w:rFonts w:ascii="Bookman Old Style" w:hAnsi="Bookman Old Style" w:cs="Times New Roman"/>
          <w:sz w:val="24"/>
          <w:szCs w:val="24"/>
        </w:rPr>
      </w:pPr>
      <w:proofErr w:type="spellStart"/>
      <w:r w:rsidRPr="00377C17">
        <w:rPr>
          <w:rFonts w:ascii="Bookman Old Style" w:hAnsi="Bookman Old Style" w:cs="Times New Roman"/>
          <w:sz w:val="24"/>
          <w:szCs w:val="24"/>
        </w:rPr>
        <w:t>Corropoli</w:t>
      </w:r>
      <w:proofErr w:type="spellEnd"/>
      <w:r w:rsidRPr="00377C17">
        <w:rPr>
          <w:rFonts w:ascii="Bookman Old Style" w:hAnsi="Bookman Old Style" w:cs="Times New Roman"/>
          <w:sz w:val="24"/>
          <w:szCs w:val="24"/>
        </w:rPr>
        <w:t>, 23/10/2018</w:t>
      </w:r>
    </w:p>
    <w:p w:rsidR="00BA4117" w:rsidRPr="00377C17" w:rsidRDefault="00BA4117" w:rsidP="00BA4117">
      <w:pPr>
        <w:jc w:val="both"/>
        <w:rPr>
          <w:rFonts w:ascii="Bookman Old Style" w:hAnsi="Bookman Old Style" w:cs="Times New Roman"/>
          <w:sz w:val="24"/>
          <w:szCs w:val="24"/>
        </w:rPr>
      </w:pPr>
    </w:p>
    <w:p w:rsidR="00BA4117" w:rsidRPr="00377C17" w:rsidRDefault="00BA4117" w:rsidP="00BA4117">
      <w:pPr>
        <w:spacing w:line="240" w:lineRule="auto"/>
        <w:jc w:val="right"/>
        <w:rPr>
          <w:rFonts w:ascii="Bookman Old Style" w:hAnsi="Bookman Old Style" w:cs="Times New Roman"/>
          <w:b/>
        </w:rPr>
      </w:pPr>
      <w:r w:rsidRPr="00377C17">
        <w:rPr>
          <w:rFonts w:ascii="Bookman Old Style" w:hAnsi="Bookman Old Style" w:cs="Times New Roman"/>
          <w:b/>
        </w:rPr>
        <w:t>Il referente</w:t>
      </w:r>
    </w:p>
    <w:p w:rsidR="00BA4117" w:rsidRPr="00377C17" w:rsidRDefault="00BA4117" w:rsidP="00BA4117">
      <w:pPr>
        <w:spacing w:line="240" w:lineRule="auto"/>
        <w:jc w:val="right"/>
        <w:rPr>
          <w:rFonts w:ascii="Bookman Old Style" w:hAnsi="Bookman Old Style" w:cs="Times New Roman"/>
          <w:i/>
        </w:rPr>
      </w:pPr>
      <w:r w:rsidRPr="00377C17">
        <w:rPr>
          <w:rFonts w:ascii="Bookman Old Style" w:hAnsi="Bookman Old Style" w:cs="Times New Roman"/>
        </w:rPr>
        <w:t xml:space="preserve">                                                                                                                </w:t>
      </w:r>
      <w:r w:rsidRPr="00377C17">
        <w:rPr>
          <w:rFonts w:ascii="Bookman Old Style" w:hAnsi="Bookman Old Style" w:cs="Times New Roman"/>
          <w:i/>
        </w:rPr>
        <w:t>Prof.</w:t>
      </w:r>
      <w:r w:rsidRPr="00377C17">
        <w:rPr>
          <w:rFonts w:ascii="Bookman Old Style" w:hAnsi="Bookman Old Style" w:cs="Times New Roman"/>
          <w:i/>
          <w:vertAlign w:val="superscript"/>
        </w:rPr>
        <w:t>ssa</w:t>
      </w:r>
      <w:r w:rsidRPr="00377C17">
        <w:rPr>
          <w:rFonts w:ascii="Bookman Old Style" w:hAnsi="Bookman Old Style" w:cs="Times New Roman"/>
          <w:i/>
        </w:rPr>
        <w:t xml:space="preserve"> </w:t>
      </w:r>
      <w:proofErr w:type="spellStart"/>
      <w:r w:rsidRPr="00377C17">
        <w:rPr>
          <w:rFonts w:ascii="Bookman Old Style" w:hAnsi="Bookman Old Style" w:cs="Times New Roman"/>
          <w:i/>
        </w:rPr>
        <w:t>Clarice</w:t>
      </w:r>
      <w:proofErr w:type="spellEnd"/>
      <w:r w:rsidRPr="00377C17">
        <w:rPr>
          <w:rFonts w:ascii="Bookman Old Style" w:hAnsi="Bookman Old Style" w:cs="Times New Roman"/>
          <w:i/>
        </w:rPr>
        <w:t xml:space="preserve"> </w:t>
      </w:r>
      <w:proofErr w:type="spellStart"/>
      <w:r w:rsidRPr="00377C17">
        <w:rPr>
          <w:rFonts w:ascii="Bookman Old Style" w:hAnsi="Bookman Old Style" w:cs="Times New Roman"/>
          <w:i/>
        </w:rPr>
        <w:t>Tomassini</w:t>
      </w:r>
      <w:proofErr w:type="spellEnd"/>
    </w:p>
    <w:p w:rsidR="00BA4117" w:rsidRPr="00C00518" w:rsidRDefault="00BA4117" w:rsidP="00BA4117">
      <w:pPr>
        <w:pStyle w:val="Corpodeltesto"/>
        <w:ind w:right="-82"/>
      </w:pPr>
    </w:p>
    <w:p w:rsidR="00BA4117" w:rsidRPr="00157468" w:rsidRDefault="00BA4117" w:rsidP="00BA4117">
      <w:pPr>
        <w:rPr>
          <w:rFonts w:ascii="Times New Roman" w:hAnsi="Times New Roman" w:cs="Times New Roman"/>
          <w:sz w:val="24"/>
          <w:szCs w:val="24"/>
        </w:rPr>
      </w:pPr>
    </w:p>
    <w:p w:rsidR="00BA4117" w:rsidRDefault="00BA4117" w:rsidP="00BA4117"/>
    <w:p w:rsidR="00A67814" w:rsidRDefault="00A67814"/>
    <w:sectPr w:rsidR="00A67814" w:rsidSect="00106C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C4F9A"/>
    <w:multiLevelType w:val="hybridMultilevel"/>
    <w:tmpl w:val="4ECE9338"/>
    <w:lvl w:ilvl="0" w:tplc="07C08C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4117"/>
    <w:rsid w:val="00377C17"/>
    <w:rsid w:val="007139E9"/>
    <w:rsid w:val="008F5432"/>
    <w:rsid w:val="00932158"/>
    <w:rsid w:val="00A67814"/>
    <w:rsid w:val="00BA41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1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BA4117"/>
    <w:pPr>
      <w:widowControl w:val="0"/>
      <w:autoSpaceDE w:val="0"/>
      <w:autoSpaceDN w:val="0"/>
      <w:adjustRightInd w:val="0"/>
      <w:spacing w:after="0" w:line="318" w:lineRule="exact"/>
      <w:jc w:val="center"/>
    </w:pPr>
    <w:rPr>
      <w:rFonts w:ascii="Times New Roman" w:eastAsia="Times New Roman" w:hAnsi="Times New Roman" w:cs="Times New Roman"/>
      <w:sz w:val="20"/>
      <w:szCs w:val="24"/>
      <w:lang w:eastAsia="it-IT"/>
    </w:rPr>
  </w:style>
  <w:style w:type="character" w:customStyle="1" w:styleId="FontStyle13">
    <w:name w:val="Font Style13"/>
    <w:basedOn w:val="Carpredefinitoparagrafo"/>
    <w:rsid w:val="00BA4117"/>
    <w:rPr>
      <w:rFonts w:ascii="Times New Roman" w:hAnsi="Times New Roman" w:cs="Times New Roman"/>
      <w:b/>
      <w:bCs/>
      <w:spacing w:val="-10"/>
      <w:sz w:val="28"/>
      <w:szCs w:val="28"/>
    </w:rPr>
  </w:style>
  <w:style w:type="character" w:customStyle="1" w:styleId="FontStyle14">
    <w:name w:val="Font Style14"/>
    <w:basedOn w:val="Carpredefinitoparagrafo"/>
    <w:rsid w:val="00BA4117"/>
    <w:rPr>
      <w:rFonts w:ascii="Times New Roman" w:hAnsi="Times New Roman" w:cs="Times New Roman"/>
      <w:sz w:val="22"/>
      <w:szCs w:val="22"/>
    </w:rPr>
  </w:style>
  <w:style w:type="paragraph" w:styleId="Corpodeltesto">
    <w:name w:val="Body Text"/>
    <w:basedOn w:val="Normale"/>
    <w:link w:val="CorpodeltestoCarattere"/>
    <w:rsid w:val="00BA4117"/>
    <w:pPr>
      <w:spacing w:after="0" w:line="24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BA4117"/>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829</Words>
  <Characters>4729</Characters>
  <Application>Microsoft Office Word</Application>
  <DocSecurity>0</DocSecurity>
  <Lines>39</Lines>
  <Paragraphs>11</Paragraphs>
  <ScaleCrop>false</ScaleCrop>
  <Company>EDS: UAF</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fidelia</dc:creator>
  <cp:lastModifiedBy>fidelia</cp:lastModifiedBy>
  <cp:revision>4</cp:revision>
  <dcterms:created xsi:type="dcterms:W3CDTF">2018-10-23T14:42:00Z</dcterms:created>
  <dcterms:modified xsi:type="dcterms:W3CDTF">2018-10-23T14:49:00Z</dcterms:modified>
</cp:coreProperties>
</file>